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45" w:type="dxa"/>
        <w:jc w:val="center"/>
        <w:tblInd w:w="287" w:type="dxa"/>
        <w:tblLayout w:type="fixed"/>
        <w:tblLook w:val="0000"/>
      </w:tblPr>
      <w:tblGrid>
        <w:gridCol w:w="3386"/>
        <w:gridCol w:w="6159"/>
      </w:tblGrid>
      <w:tr w:rsidR="00CF188A" w:rsidRPr="00B6555D">
        <w:trPr>
          <w:trHeight w:val="762"/>
          <w:jc w:val="center"/>
        </w:trPr>
        <w:tc>
          <w:tcPr>
            <w:tcW w:w="3386" w:type="dxa"/>
          </w:tcPr>
          <w:p w:rsidR="00CF188A" w:rsidRPr="00B6555D" w:rsidRDefault="00CF188A" w:rsidP="00CF188A">
            <w:pPr>
              <w:keepNext/>
              <w:jc w:val="center"/>
              <w:outlineLvl w:val="0"/>
              <w:rPr>
                <w:sz w:val="26"/>
                <w:szCs w:val="26"/>
              </w:rPr>
            </w:pPr>
            <w:r w:rsidRPr="00B6555D">
              <w:rPr>
                <w:sz w:val="26"/>
                <w:szCs w:val="26"/>
              </w:rPr>
              <w:t>UBND TỈNH PHÚ YÊN</w:t>
            </w:r>
          </w:p>
          <w:p w:rsidR="00CF188A" w:rsidRPr="00B6555D" w:rsidRDefault="00CF188A" w:rsidP="00CF188A">
            <w:pPr>
              <w:keepNext/>
              <w:jc w:val="center"/>
              <w:outlineLvl w:val="0"/>
              <w:rPr>
                <w:b/>
              </w:rPr>
            </w:pPr>
            <w:r w:rsidRPr="00B6555D">
              <w:rPr>
                <w:sz w:val="26"/>
                <w:szCs w:val="26"/>
                <w:lang w:val="en-US" w:eastAsia="en-US"/>
              </w:rPr>
              <w:pict>
                <v:line id="Line 12" o:spid="_x0000_s1027" style="position:absolute;left:0;text-align:left;z-index:251657728" from="57.5pt,16.2pt" to="97.4pt,16.2pt"/>
              </w:pict>
            </w:r>
            <w:r w:rsidRPr="00B6555D">
              <w:rPr>
                <w:b/>
                <w:sz w:val="26"/>
                <w:szCs w:val="26"/>
              </w:rPr>
              <w:t>SỞ TƯ PHÁP</w:t>
            </w:r>
          </w:p>
        </w:tc>
        <w:tc>
          <w:tcPr>
            <w:tcW w:w="6159" w:type="dxa"/>
          </w:tcPr>
          <w:p w:rsidR="00CF188A" w:rsidRPr="00B6555D" w:rsidRDefault="00CF188A" w:rsidP="00CF188A">
            <w:pPr>
              <w:keepNext/>
              <w:jc w:val="center"/>
              <w:outlineLvl w:val="0"/>
              <w:rPr>
                <w:sz w:val="26"/>
                <w:szCs w:val="26"/>
              </w:rPr>
            </w:pPr>
            <w:r w:rsidRPr="00B6555D">
              <w:rPr>
                <w:b/>
                <w:bCs/>
                <w:sz w:val="26"/>
                <w:szCs w:val="26"/>
              </w:rPr>
              <w:t>CỘNG HÒA XÃ HỘI CHỦ NGHĨA VIỆT NAM</w:t>
            </w:r>
          </w:p>
          <w:p w:rsidR="00CF188A" w:rsidRPr="00B6555D" w:rsidRDefault="00CF188A" w:rsidP="00CF188A">
            <w:pPr>
              <w:keepNext/>
              <w:jc w:val="center"/>
              <w:outlineLvl w:val="0"/>
            </w:pPr>
            <w:r w:rsidRPr="00B6555D">
              <w:rPr>
                <w:b/>
                <w:bCs/>
                <w:lang w:val="en-US" w:eastAsia="en-US"/>
              </w:rPr>
              <w:pict>
                <v:line id="Line 11" o:spid="_x0000_s1026" style="position:absolute;left:0;text-align:left;z-index:251656704" from="62.75pt,17.05pt" to="233.75pt,17.05pt"/>
              </w:pict>
            </w:r>
            <w:r w:rsidRPr="00B6555D">
              <w:rPr>
                <w:b/>
                <w:bCs/>
              </w:rPr>
              <w:t>Độc lập</w:t>
            </w:r>
            <w:r w:rsidRPr="00B6555D">
              <w:rPr>
                <w:bCs/>
              </w:rPr>
              <w:t xml:space="preserve"> - </w:t>
            </w:r>
            <w:r w:rsidRPr="00B6555D">
              <w:rPr>
                <w:b/>
                <w:bCs/>
              </w:rPr>
              <w:t>Tự do</w:t>
            </w:r>
            <w:r w:rsidRPr="00B6555D">
              <w:rPr>
                <w:bCs/>
              </w:rPr>
              <w:t xml:space="preserve"> - </w:t>
            </w:r>
            <w:r w:rsidRPr="00B6555D">
              <w:rPr>
                <w:b/>
                <w:bCs/>
              </w:rPr>
              <w:t>Hạnh phúc</w:t>
            </w:r>
          </w:p>
        </w:tc>
      </w:tr>
      <w:tr w:rsidR="00CF188A" w:rsidRPr="00B6555D">
        <w:trPr>
          <w:trHeight w:val="378"/>
          <w:jc w:val="center"/>
        </w:trPr>
        <w:tc>
          <w:tcPr>
            <w:tcW w:w="3386" w:type="dxa"/>
          </w:tcPr>
          <w:p w:rsidR="00CF188A" w:rsidRPr="00B6555D" w:rsidRDefault="00CF188A" w:rsidP="00CF188A">
            <w:pPr>
              <w:keepNext/>
              <w:jc w:val="center"/>
              <w:outlineLvl w:val="0"/>
              <w:rPr>
                <w:sz w:val="26"/>
                <w:szCs w:val="26"/>
              </w:rPr>
            </w:pPr>
            <w:r w:rsidRPr="00B6555D">
              <w:rPr>
                <w:sz w:val="26"/>
                <w:szCs w:val="26"/>
              </w:rPr>
              <w:t>Số:</w:t>
            </w:r>
            <w:r w:rsidR="00A64CDF">
              <w:rPr>
                <w:sz w:val="26"/>
                <w:szCs w:val="26"/>
              </w:rPr>
              <w:t xml:space="preserve"> 222</w:t>
            </w:r>
            <w:r w:rsidRPr="00B6555D">
              <w:rPr>
                <w:sz w:val="26"/>
                <w:szCs w:val="26"/>
              </w:rPr>
              <w:t>/BC-STP</w:t>
            </w:r>
          </w:p>
        </w:tc>
        <w:tc>
          <w:tcPr>
            <w:tcW w:w="6159" w:type="dxa"/>
          </w:tcPr>
          <w:p w:rsidR="00CF188A" w:rsidRPr="00B6555D" w:rsidRDefault="00CF188A" w:rsidP="00CF188A">
            <w:pPr>
              <w:keepNext/>
              <w:jc w:val="center"/>
              <w:outlineLvl w:val="0"/>
            </w:pPr>
            <w:r w:rsidRPr="00B6555D">
              <w:rPr>
                <w:i/>
                <w:iCs/>
              </w:rPr>
              <w:t>Phú Yên,</w:t>
            </w:r>
            <w:r w:rsidRPr="00B6555D">
              <w:rPr>
                <w:b/>
                <w:bCs/>
                <w:i/>
                <w:iCs/>
              </w:rPr>
              <w:t xml:space="preserve"> </w:t>
            </w:r>
            <w:r w:rsidR="00A64CDF">
              <w:rPr>
                <w:i/>
                <w:iCs/>
              </w:rPr>
              <w:t>ngày 25</w:t>
            </w:r>
            <w:r w:rsidRPr="00B6555D">
              <w:rPr>
                <w:i/>
                <w:iCs/>
              </w:rPr>
              <w:t xml:space="preserve"> tháng </w:t>
            </w:r>
            <w:r w:rsidR="00CF1C08">
              <w:rPr>
                <w:i/>
                <w:iCs/>
              </w:rPr>
              <w:t xml:space="preserve">10 </w:t>
            </w:r>
            <w:r w:rsidRPr="00B6555D">
              <w:rPr>
                <w:i/>
                <w:iCs/>
              </w:rPr>
              <w:t>năm 2016</w:t>
            </w:r>
          </w:p>
        </w:tc>
      </w:tr>
    </w:tbl>
    <w:p w:rsidR="00156772" w:rsidRDefault="00156772" w:rsidP="00CF188A">
      <w:pPr>
        <w:jc w:val="center"/>
        <w:rPr>
          <w:b/>
        </w:rPr>
      </w:pPr>
    </w:p>
    <w:p w:rsidR="00CF188A" w:rsidRPr="00B6555D" w:rsidRDefault="00CF188A" w:rsidP="00CF188A">
      <w:pPr>
        <w:jc w:val="center"/>
        <w:rPr>
          <w:b/>
        </w:rPr>
      </w:pPr>
      <w:r w:rsidRPr="00B6555D">
        <w:rPr>
          <w:b/>
        </w:rPr>
        <w:t>BÁO CÁO</w:t>
      </w:r>
      <w:r w:rsidRPr="00B6555D">
        <w:rPr>
          <w:b/>
        </w:rPr>
        <w:br/>
        <w:t>Kết quả thực hiện Kế hoạch số 28/KH-UBND ngày 09/3/2016</w:t>
      </w:r>
      <w:r w:rsidRPr="00B6555D">
        <w:rPr>
          <w:b/>
        </w:rPr>
        <w:br/>
        <w:t xml:space="preserve">của UBND tỉnh trong </w:t>
      </w:r>
      <w:r w:rsidR="00CF1C08">
        <w:rPr>
          <w:b/>
        </w:rPr>
        <w:t>tháng 10</w:t>
      </w:r>
      <w:r w:rsidRPr="00B6555D">
        <w:rPr>
          <w:b/>
        </w:rPr>
        <w:t xml:space="preserve"> và phương hướng, nhiệm vụ</w:t>
      </w:r>
      <w:r w:rsidR="00CF1C08">
        <w:rPr>
          <w:b/>
        </w:rPr>
        <w:t xml:space="preserve"> tháng 11</w:t>
      </w:r>
      <w:r w:rsidRPr="00B6555D">
        <w:rPr>
          <w:b/>
        </w:rPr>
        <w:t>/2016</w:t>
      </w:r>
    </w:p>
    <w:p w:rsidR="00CF188A" w:rsidRPr="00B6555D" w:rsidRDefault="00CF188A" w:rsidP="00CF188A">
      <w:pPr>
        <w:spacing w:before="480" w:after="120"/>
        <w:ind w:firstLine="720"/>
        <w:jc w:val="both"/>
      </w:pPr>
      <w:r w:rsidRPr="00B6555D">
        <w:rPr>
          <w:b/>
          <w:noProof/>
        </w:rPr>
        <w:pict>
          <v:shapetype id="_x0000_t32" coordsize="21600,21600" o:spt="32" o:oned="t" path="m,l21600,21600e" filled="f">
            <v:path arrowok="t" fillok="f" o:connecttype="none"/>
            <o:lock v:ext="edit" shapetype="t"/>
          </v:shapetype>
          <v:shape id="_x0000_s1028" type="#_x0000_t32" style="position:absolute;left:0;text-align:left;margin-left:177.95pt;margin-top:.85pt;width:114pt;height:0;z-index:251658752" o:connectortype="straight"/>
        </w:pict>
      </w:r>
      <w:r w:rsidRPr="00B6555D">
        <w:t xml:space="preserve">Thực hiện Kế hoạch số 28/KH-UBND ngày 09/3/2016 của UBND tỉnh </w:t>
      </w:r>
      <w:r w:rsidR="00C17D05">
        <w:t xml:space="preserve">Phú Yên </w:t>
      </w:r>
      <w:r w:rsidRPr="00B6555D">
        <w:t>về hoạt</w:t>
      </w:r>
      <w:r w:rsidR="00C17D05">
        <w:t xml:space="preserve"> động Năm Doanh nghiệp Phú Yên -</w:t>
      </w:r>
      <w:r w:rsidRPr="00B6555D">
        <w:t xml:space="preserve"> 2016, Sở Tư pháp báo cáo như sau:</w:t>
      </w:r>
    </w:p>
    <w:p w:rsidR="00CF188A" w:rsidRPr="00B6555D" w:rsidRDefault="00CF188A" w:rsidP="00CF188A">
      <w:pPr>
        <w:spacing w:before="120" w:after="120"/>
        <w:ind w:firstLine="720"/>
        <w:jc w:val="both"/>
        <w:rPr>
          <w:b/>
        </w:rPr>
      </w:pPr>
      <w:r w:rsidRPr="00B6555D">
        <w:rPr>
          <w:b/>
        </w:rPr>
        <w:t>I. KẾT QUẢ THỰC HIỆN</w:t>
      </w:r>
    </w:p>
    <w:p w:rsidR="00CF1C08" w:rsidRDefault="00CF1C08" w:rsidP="00CF1C08">
      <w:pPr>
        <w:spacing w:before="120" w:after="120"/>
        <w:ind w:firstLine="720"/>
        <w:jc w:val="both"/>
        <w:rPr>
          <w:b/>
        </w:rPr>
      </w:pPr>
      <w:r>
        <w:rPr>
          <w:b/>
        </w:rPr>
        <w:t>1. Công tác xây dựng, kiểm tra, rà soát, hệ thống hóa văn bản quy phạm pháp luật (VBQPPL), hỗ trợ pháp lý doanh nghiệp</w:t>
      </w:r>
    </w:p>
    <w:p w:rsidR="00CF1C08" w:rsidRPr="007C00D9" w:rsidRDefault="00CF1C08" w:rsidP="00CF1C08">
      <w:pPr>
        <w:spacing w:before="120" w:after="120"/>
        <w:ind w:firstLine="720"/>
        <w:jc w:val="both"/>
        <w:rPr>
          <w:lang w:val="pl-PL"/>
        </w:rPr>
      </w:pPr>
      <w:r>
        <w:rPr>
          <w:lang w:val="pl-PL"/>
        </w:rPr>
        <w:t>Công tác xây dựng văn bản quy phạm pháp luật trên địa bàn tỉnh thực hiện đúng tiến độ đề ra theo Chương trình xây dựng văn bản quy phạm pháp luật của UBND tỉnh Phú Yên năm 2016. Tham mưu UBND tỉnh</w:t>
      </w:r>
      <w:r w:rsidRPr="007C00D9">
        <w:rPr>
          <w:lang w:val="pl-PL"/>
        </w:rPr>
        <w:t xml:space="preserve"> quyết định ban hành Quy chế phối hợp hỗ trợ pháp lý cho doanh nghiệp trên địa bàn tỉnh. Báo cáo Bộ Tư pháp, UBND tỉnh kết quả rà soát văn bản quy phạm pháp luật do HĐND, UBND tỉnh ban hành có liên quan đến nội dung Hiệp định TPP; đề nghị Chủ tịch UBND huyện Tuy An xử lý văn bản trái pháp luật (Công văn số 834/UBND ngày 20/11/2015 về việc lập thủ tục chuyển quyền sử dụng đất). Tổ chức làm việc với Cục Kiểm tra văn bản quy phạm pháp luật, Bộ Tư pháp về kiểm tra, xử lý, rà soát, hệ thống hóa, xây dựng cơ sở dữ liệu văn bản quy phạm pháp luật trên địa bàn tỉnh. Công tác thẩm định, góp ý dự thảo văn bản QPPL đạt 100% số văn bản do các cơ quan yêu cầu (thẩm định 12 dự thảo văn bản</w:t>
      </w:r>
      <w:r>
        <w:rPr>
          <w:rStyle w:val="FootnoteReference"/>
        </w:rPr>
        <w:footnoteReference w:id="1"/>
      </w:r>
      <w:r w:rsidRPr="007C00D9">
        <w:rPr>
          <w:lang w:val="pl-PL"/>
        </w:rPr>
        <w:t>; góp ý 11 dự thảo văn bản của Trung ương và địa phương</w:t>
      </w:r>
      <w:r>
        <w:rPr>
          <w:rStyle w:val="FootnoteReference"/>
        </w:rPr>
        <w:footnoteReference w:id="2"/>
      </w:r>
      <w:r w:rsidRPr="007C00D9">
        <w:rPr>
          <w:lang w:val="pl-PL"/>
        </w:rPr>
        <w:t xml:space="preserve">); thực hiện cập nhật 14 văn bản QPPL vào cơ sở dữ liệu quốc gia. </w:t>
      </w:r>
    </w:p>
    <w:p w:rsidR="00CF1C08" w:rsidRPr="00C93432" w:rsidRDefault="00B50F7D" w:rsidP="00C93432">
      <w:pPr>
        <w:spacing w:before="120" w:after="120"/>
        <w:ind w:firstLine="720"/>
        <w:jc w:val="both"/>
        <w:rPr>
          <w:bCs/>
          <w:lang w:val="sv-SE"/>
        </w:rPr>
      </w:pPr>
      <w:r>
        <w:rPr>
          <w:b/>
          <w:lang w:val="es-ES"/>
        </w:rPr>
        <w:lastRenderedPageBreak/>
        <w:t>2</w:t>
      </w:r>
      <w:r w:rsidR="00CF1C08" w:rsidRPr="007C00D9">
        <w:rPr>
          <w:b/>
          <w:lang w:val="pl-PL"/>
        </w:rPr>
        <w:t>. Công tác kiểm soát thủ tục hành chính (TTHC)</w:t>
      </w:r>
    </w:p>
    <w:p w:rsidR="00CF1C08" w:rsidRDefault="00CF1C08" w:rsidP="00CF1C08">
      <w:pPr>
        <w:spacing w:after="60"/>
        <w:ind w:firstLine="720"/>
        <w:jc w:val="both"/>
        <w:rPr>
          <w:color w:val="000000"/>
          <w:lang w:val="es-ES"/>
        </w:rPr>
      </w:pPr>
      <w:r w:rsidRPr="007C00D9">
        <w:rPr>
          <w:lang w:val="sv-SE"/>
        </w:rPr>
        <w:t xml:space="preserve">Đã tham mưu UBND tỉnh ban hành </w:t>
      </w:r>
      <w:r>
        <w:rPr>
          <w:color w:val="000000"/>
          <w:lang w:val="es-ES"/>
        </w:rPr>
        <w:t xml:space="preserve">Quyết định số 2236/QĐ-UBND ngày 21/9/2016 về việc phê duyệt danh sách cán bộ, công chức làm đầu mối thực hiện nhiệm vụ kiểm soát TTHC cấp tỉnh; Quyết định số 2441/QĐ-UBND ngày 14/10/2016 về việc thông qua phương án đơn giản hóa TTHC trên địa bàn tỉnh năm 2016; 02 </w:t>
      </w:r>
      <w:r w:rsidRPr="007C00D9">
        <w:rPr>
          <w:lang w:val="sv-SE"/>
        </w:rPr>
        <w:t>Quyết định</w:t>
      </w:r>
      <w:r>
        <w:rPr>
          <w:rStyle w:val="FootnoteReference"/>
        </w:rPr>
        <w:footnoteReference w:id="3"/>
      </w:r>
      <w:r w:rsidRPr="007C00D9">
        <w:rPr>
          <w:lang w:val="sv-SE"/>
        </w:rPr>
        <w:t xml:space="preserve"> công bố TTHC thuộc thẩm quyền giải quyết của UBND cấp huyện, UBND cấp xã</w:t>
      </w:r>
      <w:r w:rsidRPr="007C00D9">
        <w:rPr>
          <w:color w:val="000000"/>
          <w:lang w:val="sv-SE"/>
        </w:rPr>
        <w:t xml:space="preserve">; </w:t>
      </w:r>
      <w:r>
        <w:rPr>
          <w:color w:val="000000"/>
          <w:lang w:val="es-ES"/>
        </w:rPr>
        <w:t xml:space="preserve">trình UBND tỉnh dự thảo </w:t>
      </w:r>
      <w:r w:rsidRPr="007C00D9">
        <w:rPr>
          <w:color w:val="000000"/>
          <w:spacing w:val="-2"/>
          <w:lang w:val="sv-SE"/>
        </w:rPr>
        <w:t>Báo cáo kết quả rà soát, đánh giá TTHC năm 2016</w:t>
      </w:r>
      <w:r>
        <w:rPr>
          <w:color w:val="000000"/>
          <w:lang w:val="es-ES"/>
        </w:rPr>
        <w:t>.</w:t>
      </w:r>
      <w:r>
        <w:rPr>
          <w:lang w:val="es-ES"/>
        </w:rPr>
        <w:t xml:space="preserve"> Kiểm soát chất lượng dự thảo Quyết định công bố 164 TTHC thuộc phạm vi chức năng quản lý của các Sở: Tài nguyên và Môi trường; Văn hóa, Thể thao và Du lịch và Ban Quản lý khu nông nghiệp ứng dụng công nghệ cao; cập nhật 135 TTHC mới ban hành, sửa đổi, bổ sung thuộc phạm vi chức năng quản lý của một số cơ quan, đơn vị</w:t>
      </w:r>
      <w:r>
        <w:rPr>
          <w:rStyle w:val="FootnoteReference"/>
          <w:lang w:val="es-ES"/>
        </w:rPr>
        <w:footnoteReference w:id="4"/>
      </w:r>
      <w:r>
        <w:rPr>
          <w:lang w:val="es-ES"/>
        </w:rPr>
        <w:t xml:space="preserve"> lên trang Cơ sở dữ liệu quốc gia, trang thông tin điện tử về TTHC của tỉnh và đề nghị Cục Kiểm soát TTHC công khai</w:t>
      </w:r>
      <w:r>
        <w:rPr>
          <w:color w:val="000000"/>
          <w:lang w:val="es-ES"/>
        </w:rPr>
        <w:t xml:space="preserve">. </w:t>
      </w:r>
    </w:p>
    <w:p w:rsidR="00CF1C08" w:rsidRDefault="00B50F7D" w:rsidP="00CF1C08">
      <w:pPr>
        <w:spacing w:before="120" w:after="120"/>
        <w:ind w:firstLine="720"/>
        <w:jc w:val="both"/>
        <w:rPr>
          <w:b/>
          <w:lang w:val="es-ES"/>
        </w:rPr>
      </w:pPr>
      <w:r>
        <w:rPr>
          <w:b/>
          <w:lang w:val="es-ES"/>
        </w:rPr>
        <w:t>3</w:t>
      </w:r>
      <w:r w:rsidR="00CF1C08">
        <w:rPr>
          <w:b/>
          <w:lang w:val="es-ES"/>
        </w:rPr>
        <w:t>. Công tác bổ trợ tư pháp</w:t>
      </w:r>
    </w:p>
    <w:p w:rsidR="00CF1C08" w:rsidRDefault="00122B37" w:rsidP="00CF1C08">
      <w:pPr>
        <w:tabs>
          <w:tab w:val="left" w:pos="-567"/>
        </w:tabs>
        <w:spacing w:before="120" w:after="120"/>
        <w:ind w:right="-57"/>
        <w:jc w:val="both"/>
        <w:rPr>
          <w:lang w:val="es-ES"/>
        </w:rPr>
      </w:pPr>
      <w:r w:rsidRPr="007C00D9">
        <w:rPr>
          <w:lang w:val="es-ES"/>
        </w:rPr>
        <w:tab/>
      </w:r>
      <w:r w:rsidR="00CF1C08" w:rsidRPr="007C00D9">
        <w:rPr>
          <w:lang w:val="es-ES"/>
        </w:rPr>
        <w:t>Đã tham mưu UBND tỉnh ban hành Quyết định số 2186/QĐ-UBND ngày 14/9/2016 về việc cho phép thành lập Hội Công chứng viên tỉnh Phú Yên. Sở Tư pháp đã t</w:t>
      </w:r>
      <w:r w:rsidR="00CF1C08">
        <w:rPr>
          <w:lang w:val="de-DE"/>
        </w:rPr>
        <w:t>rực tiếp làm việc với Học viện Tư pháp để mở lớp đào tạo nghề Luật sư năm 2016;</w:t>
      </w:r>
      <w:r w:rsidR="00CF1C08" w:rsidRPr="007C00D9">
        <w:rPr>
          <w:lang w:val="es-ES"/>
        </w:rPr>
        <w:t xml:space="preserve"> báo cáo Bộ Tư pháp việc lập và đăng tải Danh sách Quản tài viên, Doanh nghiệp hành nghề quản lý, thanh lý tài sản trên địa bàn tỉnh</w:t>
      </w:r>
      <w:r w:rsidR="00CF1C08">
        <w:rPr>
          <w:lang w:val="de-DE"/>
        </w:rPr>
        <w:t xml:space="preserve">; </w:t>
      </w:r>
      <w:r w:rsidR="00CF1C08" w:rsidRPr="007C00D9">
        <w:rPr>
          <w:lang w:val="es-ES"/>
        </w:rPr>
        <w:t>góp ý các dự thảo Thông tư hướng dẫn về phí, lệ phí trong lĩnh vực tư pháp gửi Bộ Tư pháp. Tiến hành kiểm tra tình hình tổ chức và hoạt động của Công ty cổ phần Đấu giá Trí Việt; tình hình tổ chức và hoạt động của Văn phòng luật sư Nhật Khang; phối hợp Cục Thi hành án Dân sự tỉnh tham gia ý kiến về dự thảo Quy chế phối hợp công tác giữa cơ quan tư pháp và cơ quan thi hành án dân sự theo đề nghị của Bộ Tư pháp.</w:t>
      </w:r>
    </w:p>
    <w:p w:rsidR="00CF1C08" w:rsidRPr="007C00D9" w:rsidRDefault="00CF1C08" w:rsidP="002B7B0F">
      <w:pPr>
        <w:spacing w:before="120"/>
        <w:ind w:firstLine="709"/>
        <w:jc w:val="both"/>
        <w:rPr>
          <w:lang w:val="es-ES"/>
        </w:rPr>
      </w:pPr>
      <w:r>
        <w:rPr>
          <w:lang w:val="es-ES"/>
        </w:rPr>
        <w:tab/>
      </w:r>
      <w:r w:rsidR="002B7B0F">
        <w:rPr>
          <w:b/>
          <w:lang w:val="de-DE"/>
        </w:rPr>
        <w:t>4</w:t>
      </w:r>
      <w:r>
        <w:rPr>
          <w:b/>
          <w:lang w:val="nl-NL"/>
        </w:rPr>
        <w:t>. Công tác thanh tra, giải quyết khiếu nại, tố cáo</w:t>
      </w:r>
    </w:p>
    <w:p w:rsidR="00CF1C08" w:rsidRDefault="00CF1C08" w:rsidP="00CF1C08">
      <w:pPr>
        <w:spacing w:before="120" w:after="120"/>
        <w:ind w:firstLine="709"/>
        <w:jc w:val="both"/>
        <w:rPr>
          <w:lang w:val="nl-NL"/>
        </w:rPr>
      </w:pPr>
      <w:r>
        <w:rPr>
          <w:lang w:val="nl-NL"/>
        </w:rPr>
        <w:t xml:space="preserve">Thực hiện tốt công tác tiếp công dân thường xuyên tại cơ quan và tham gia tiếp dân định kỳ hàng tháng do UBND và HĐND tỉnh tổ chức. Tiến hành thanh tra chuyên ngành về công tác đăng ký và quản lý hộ tịch; công tác chứng thực đối với Phòng Tư pháp thị xã Sông Cầu </w:t>
      </w:r>
      <w:r w:rsidR="00C56294">
        <w:rPr>
          <w:lang w:val="nl-NL"/>
        </w:rPr>
        <w:t xml:space="preserve">và 01 đơn vị cấp xã. </w:t>
      </w:r>
    </w:p>
    <w:p w:rsidR="00CF188A" w:rsidRPr="00B6555D" w:rsidRDefault="002B7B0F" w:rsidP="00CF188A">
      <w:pPr>
        <w:spacing w:before="120" w:after="120"/>
        <w:ind w:firstLine="720"/>
        <w:jc w:val="both"/>
        <w:rPr>
          <w:b/>
          <w:bCs/>
          <w:spacing w:val="6"/>
          <w:lang w:val="es-ES"/>
        </w:rPr>
      </w:pPr>
      <w:r>
        <w:rPr>
          <w:b/>
          <w:bCs/>
          <w:spacing w:val="6"/>
          <w:lang w:val="es-ES"/>
        </w:rPr>
        <w:t>5</w:t>
      </w:r>
      <w:r w:rsidR="00CF188A" w:rsidRPr="00B6555D">
        <w:rPr>
          <w:b/>
          <w:bCs/>
          <w:spacing w:val="6"/>
          <w:lang w:val="es-ES"/>
        </w:rPr>
        <w:t>. Công tá</w:t>
      </w:r>
      <w:r w:rsidR="00B34A9F">
        <w:rPr>
          <w:b/>
          <w:bCs/>
          <w:spacing w:val="6"/>
          <w:lang w:val="es-ES"/>
        </w:rPr>
        <w:t xml:space="preserve">c </w:t>
      </w:r>
      <w:r w:rsidR="00CF188A" w:rsidRPr="00B6555D">
        <w:rPr>
          <w:b/>
          <w:bCs/>
          <w:spacing w:val="6"/>
          <w:lang w:val="es-ES"/>
        </w:rPr>
        <w:t>cải cách thủ tục hành chính</w:t>
      </w:r>
      <w:r w:rsidR="00B34A9F">
        <w:rPr>
          <w:b/>
          <w:bCs/>
          <w:spacing w:val="6"/>
          <w:lang w:val="es-ES"/>
        </w:rPr>
        <w:t xml:space="preserve"> tại Sở Tư pháp </w:t>
      </w:r>
    </w:p>
    <w:p w:rsidR="00131527" w:rsidRDefault="00556D2B" w:rsidP="00CF188A">
      <w:pPr>
        <w:spacing w:before="120" w:after="120"/>
        <w:ind w:firstLine="720"/>
        <w:jc w:val="both"/>
        <w:outlineLvl w:val="1"/>
        <w:rPr>
          <w:lang w:val="es-ES"/>
        </w:rPr>
      </w:pPr>
      <w:r>
        <w:rPr>
          <w:bCs/>
          <w:spacing w:val="6"/>
          <w:lang w:val="es-ES"/>
        </w:rPr>
        <w:t>Tiến hành</w:t>
      </w:r>
      <w:r w:rsidR="00131527" w:rsidRPr="00B6555D">
        <w:rPr>
          <w:bCs/>
          <w:spacing w:val="6"/>
          <w:lang w:val="es-ES"/>
        </w:rPr>
        <w:t xml:space="preserve"> </w:t>
      </w:r>
      <w:r w:rsidR="00131527" w:rsidRPr="00B6555D">
        <w:rPr>
          <w:lang w:val="es-ES"/>
        </w:rPr>
        <w:t>cập nhật các TTHC đã được công bố l</w:t>
      </w:r>
      <w:r>
        <w:rPr>
          <w:lang w:val="es-ES"/>
        </w:rPr>
        <w:t>ên trang cơ sở dữ liệu quốc gia và</w:t>
      </w:r>
      <w:r w:rsidR="00131527" w:rsidRPr="00B6555D">
        <w:rPr>
          <w:lang w:val="es-ES"/>
        </w:rPr>
        <w:t xml:space="preserve"> trang thô</w:t>
      </w:r>
      <w:r w:rsidR="00131527">
        <w:rPr>
          <w:lang w:val="es-ES"/>
        </w:rPr>
        <w:t xml:space="preserve">ng tin điện tử về TTHC của tỉnh; tiếp tục rà soát các TTHC thuộc </w:t>
      </w:r>
      <w:r w:rsidR="00131527">
        <w:rPr>
          <w:lang w:val="es-ES"/>
        </w:rPr>
        <w:lastRenderedPageBreak/>
        <w:t>thẩm quyền giải quyết của Sở để rút ngắn thời gian, tạo thuận lợi tối đa cho doanh nghiệp</w:t>
      </w:r>
      <w:r>
        <w:rPr>
          <w:lang w:val="es-ES"/>
        </w:rPr>
        <w:t xml:space="preserve"> và người dân</w:t>
      </w:r>
      <w:r w:rsidR="00131527">
        <w:rPr>
          <w:lang w:val="es-ES"/>
        </w:rPr>
        <w:t>.</w:t>
      </w:r>
    </w:p>
    <w:p w:rsidR="00556D2B" w:rsidRPr="00556D2B" w:rsidRDefault="00556D2B" w:rsidP="00556D2B">
      <w:pPr>
        <w:pStyle w:val="NormalWeb"/>
        <w:spacing w:beforeAutospacing="0" w:after="0" w:afterAutospacing="0"/>
        <w:ind w:firstLine="720"/>
        <w:jc w:val="both"/>
        <w:rPr>
          <w:rFonts w:ascii="Times New Roman" w:hAnsi="Times New Roman"/>
          <w:bCs/>
          <w:i w:val="0"/>
          <w:sz w:val="28"/>
          <w:szCs w:val="28"/>
          <w:shd w:val="clear" w:color="auto" w:fill="FFFFFF"/>
        </w:rPr>
      </w:pPr>
      <w:r w:rsidRPr="007C00D9">
        <w:rPr>
          <w:rFonts w:ascii="Times New Roman" w:hAnsi="Times New Roman"/>
          <w:bCs/>
          <w:i w:val="0"/>
          <w:sz w:val="28"/>
          <w:szCs w:val="28"/>
          <w:shd w:val="clear" w:color="auto" w:fill="FFFFFF"/>
          <w:lang w:val="es-ES"/>
        </w:rPr>
        <w:t>Thường</w:t>
      </w:r>
      <w:r w:rsidR="00495B26" w:rsidRPr="007C00D9">
        <w:rPr>
          <w:rFonts w:ascii="Times New Roman" w:hAnsi="Times New Roman"/>
          <w:bCs/>
          <w:i w:val="0"/>
          <w:sz w:val="28"/>
          <w:szCs w:val="28"/>
          <w:shd w:val="clear" w:color="auto" w:fill="FFFFFF"/>
          <w:lang w:val="es-ES"/>
        </w:rPr>
        <w:t xml:space="preserve"> xuyên kiểm tra, yêu cầu </w:t>
      </w:r>
      <w:r w:rsidR="0074370E" w:rsidRPr="007C00D9">
        <w:rPr>
          <w:rFonts w:ascii="Times New Roman" w:hAnsi="Times New Roman"/>
          <w:bCs/>
          <w:i w:val="0"/>
          <w:sz w:val="28"/>
          <w:szCs w:val="28"/>
          <w:shd w:val="clear" w:color="auto" w:fill="FFFFFF"/>
          <w:lang w:val="es-ES"/>
        </w:rPr>
        <w:t>bộ phận tiếp nhận và trả kết quả theo cơ chế “một cửa”, “một cửa liên thông”</w:t>
      </w:r>
      <w:r w:rsidRPr="007C00D9">
        <w:rPr>
          <w:rFonts w:ascii="Times New Roman" w:hAnsi="Times New Roman"/>
          <w:bCs/>
          <w:i w:val="0"/>
          <w:sz w:val="28"/>
          <w:szCs w:val="28"/>
          <w:shd w:val="clear" w:color="auto" w:fill="FFFFFF"/>
          <w:lang w:val="es-ES"/>
        </w:rPr>
        <w:t xml:space="preserve"> khi tiếp nhận hồ sơ giải quyết thủ tục hành chính phải đơn giản hóa các loại giấy tờ không cần thiết; không yêu cầu công dân cung cấp thêm các giấy tờ mà bộ thủ tục hành chính không quy định; dán công khai các khoản phí, lệ phí tại địa điểm tiếp công dân và đăng tải trên </w:t>
      </w:r>
      <w:r w:rsidRPr="007C00D9">
        <w:rPr>
          <w:rFonts w:ascii="Times New Roman" w:hAnsi="Times New Roman"/>
          <w:i w:val="0"/>
          <w:spacing w:val="-4"/>
          <w:sz w:val="28"/>
          <w:szCs w:val="28"/>
          <w:lang w:val="es-ES"/>
        </w:rPr>
        <w:t>website</w:t>
      </w:r>
      <w:r w:rsidRPr="007C00D9">
        <w:rPr>
          <w:rFonts w:ascii="Times New Roman" w:hAnsi="Times New Roman"/>
          <w:bCs/>
          <w:i w:val="0"/>
          <w:sz w:val="28"/>
          <w:szCs w:val="28"/>
          <w:shd w:val="clear" w:color="auto" w:fill="FFFFFF"/>
          <w:lang w:val="es-ES"/>
        </w:rPr>
        <w:t xml:space="preserve"> của Sở. </w:t>
      </w:r>
      <w:r w:rsidRPr="00556D2B">
        <w:rPr>
          <w:rFonts w:ascii="Times New Roman" w:hAnsi="Times New Roman"/>
          <w:bCs/>
          <w:i w:val="0"/>
          <w:sz w:val="28"/>
          <w:szCs w:val="28"/>
          <w:shd w:val="clear" w:color="auto" w:fill="FFFFFF"/>
        </w:rPr>
        <w:t xml:space="preserve">Thực hiện </w:t>
      </w:r>
      <w:r w:rsidRPr="00556D2B">
        <w:rPr>
          <w:rFonts w:ascii="Times New Roman" w:hAnsi="Times New Roman"/>
          <w:i w:val="0"/>
          <w:sz w:val="28"/>
          <w:szCs w:val="28"/>
        </w:rPr>
        <w:t>kiểm tra công chức, viên chức của Sở trong giao tiếp và ứng xử với nhân dân, nhắc nhở công chức, viên chức phải có thái độ lịch sự, tôn trọng, nhã nhặn, lắng nghe ý kiến, giải thích, hướng dẫn rõ ràng, cụ thể về các quy định liên quan đến giải quyết công việc, không hách dịch, nhũng nhiễu, gây khó khăn, phiền hà khi thực hiện nhiệm vụ.</w:t>
      </w:r>
    </w:p>
    <w:p w:rsidR="00CF188A" w:rsidRPr="00A0507E" w:rsidRDefault="00CF188A" w:rsidP="00A0507E">
      <w:pPr>
        <w:spacing w:before="120" w:after="120"/>
        <w:ind w:firstLine="720"/>
        <w:jc w:val="both"/>
        <w:outlineLvl w:val="1"/>
        <w:rPr>
          <w:lang w:val="es-ES"/>
        </w:rPr>
      </w:pPr>
      <w:r w:rsidRPr="00B6555D">
        <w:rPr>
          <w:b/>
        </w:rPr>
        <w:t xml:space="preserve">II. PHƯƠNG HƯỚNG, NHIỆM VỤ </w:t>
      </w:r>
      <w:r w:rsidR="0052240B">
        <w:rPr>
          <w:b/>
        </w:rPr>
        <w:t>THÁNG 11</w:t>
      </w:r>
      <w:r w:rsidRPr="00B6555D">
        <w:rPr>
          <w:b/>
        </w:rPr>
        <w:t>/2016</w:t>
      </w:r>
    </w:p>
    <w:p w:rsidR="00CF188A" w:rsidRPr="007C00D9" w:rsidRDefault="00CF188A" w:rsidP="00CF188A">
      <w:pPr>
        <w:spacing w:before="120" w:after="120"/>
        <w:ind w:firstLine="720"/>
        <w:jc w:val="both"/>
        <w:rPr>
          <w:lang w:val="es-ES"/>
        </w:rPr>
      </w:pPr>
      <w:r w:rsidRPr="007C00D9">
        <w:rPr>
          <w:b/>
          <w:lang w:val="es-ES"/>
        </w:rPr>
        <w:t>1.</w:t>
      </w:r>
      <w:r>
        <w:rPr>
          <w:bCs/>
          <w:lang w:val="nl-NL"/>
        </w:rPr>
        <w:t xml:space="preserve"> </w:t>
      </w:r>
      <w:r w:rsidRPr="007C00D9">
        <w:rPr>
          <w:lang w:val="es-ES"/>
        </w:rPr>
        <w:t>Thực hiện công tác thẩm định văn bản quy phạm pháp luật và hỗ trợ pháp lý cho doanh nghiệp theo quy định. Tiếp tục rà soát các văn bản quy phạm pháp luật của HĐND, UBND tỉnh liên quan đến hoạt động doanh nghiệp.</w:t>
      </w:r>
    </w:p>
    <w:p w:rsidR="00CF188A" w:rsidRPr="007C00D9" w:rsidRDefault="00CF188A" w:rsidP="00CF188A">
      <w:pPr>
        <w:spacing w:before="120" w:after="120"/>
        <w:ind w:firstLine="720"/>
        <w:jc w:val="both"/>
        <w:rPr>
          <w:lang w:val="es-ES"/>
        </w:rPr>
      </w:pPr>
      <w:r w:rsidRPr="007C00D9">
        <w:rPr>
          <w:b/>
          <w:lang w:val="es-ES"/>
        </w:rPr>
        <w:t>2.</w:t>
      </w:r>
      <w:r w:rsidRPr="007C00D9">
        <w:rPr>
          <w:lang w:val="es-ES"/>
        </w:rPr>
        <w:t xml:space="preserve"> Tiếp tục triển khai và thực hiện c</w:t>
      </w:r>
      <w:r w:rsidR="008B37B3" w:rsidRPr="007C00D9">
        <w:rPr>
          <w:lang w:val="es-ES"/>
        </w:rPr>
        <w:t xml:space="preserve">ó hiệu quả </w:t>
      </w:r>
      <w:r w:rsidRPr="007C00D9">
        <w:rPr>
          <w:lang w:val="es-ES"/>
        </w:rPr>
        <w:t xml:space="preserve">Kế hoạch số 28/KH-UBND ngày 09/3/2016 của UBND tỉnh về việc triển khai thực hiện Chỉ thị số 04-CT/TU ngày 07/01/2016 của Ban Thường vụ Tỉnh </w:t>
      </w:r>
      <w:r w:rsidR="008B37B3" w:rsidRPr="007C00D9">
        <w:rPr>
          <w:lang w:val="es-ES"/>
        </w:rPr>
        <w:t>ủy về Năm doanh nghiệp Phú Yên -</w:t>
      </w:r>
      <w:r w:rsidRPr="007C00D9">
        <w:rPr>
          <w:lang w:val="es-ES"/>
        </w:rPr>
        <w:t xml:space="preserve"> 2016; </w:t>
      </w:r>
      <w:r w:rsidRPr="008B37B3">
        <w:rPr>
          <w:rStyle w:val="Vnbnnidung3"/>
          <w:b w:val="0"/>
          <w:bCs w:val="0"/>
          <w:sz w:val="28"/>
          <w:szCs w:val="28"/>
          <w:lang w:val="tr-TR" w:eastAsia="vi-VN"/>
        </w:rPr>
        <w:t>Quyết định số 876/QĐ-UBND ngày 26/4/2016 của UBND tỉnh về ban hành kế hoạch hỗ trợ pháp lý cho doanh nghiệp và các văn bản liên quan.</w:t>
      </w:r>
    </w:p>
    <w:p w:rsidR="00CF188A" w:rsidRPr="007C00D9" w:rsidRDefault="00CF188A" w:rsidP="00CF188A">
      <w:pPr>
        <w:spacing w:before="120" w:after="120"/>
        <w:ind w:firstLine="720"/>
        <w:jc w:val="both"/>
        <w:rPr>
          <w:lang w:val="es-ES"/>
        </w:rPr>
      </w:pPr>
      <w:r w:rsidRPr="007C00D9">
        <w:rPr>
          <w:b/>
          <w:lang w:val="es-ES"/>
        </w:rPr>
        <w:t>3.</w:t>
      </w:r>
      <w:r w:rsidRPr="007C00D9">
        <w:rPr>
          <w:lang w:val="es-ES"/>
        </w:rPr>
        <w:t xml:space="preserve"> Đẩy mạnh cải cách thủ tục hành chính thông qua việc triển khai có hiệu quả cơ chế một cửa, một cửa liên thông tại cơ quan hành chính nhà nước theo Quyết định số 09/2015/QĐ-TTg ngày 25/3/2015 của Thủ tướng Chính phủ và Quy chế của cơ quan trong các lĩnh vực thuộc ngành quản lý.</w:t>
      </w:r>
    </w:p>
    <w:p w:rsidR="00CF188A" w:rsidRPr="007C00D9" w:rsidRDefault="00CF188A" w:rsidP="00CF188A">
      <w:pPr>
        <w:spacing w:before="120" w:after="120"/>
        <w:ind w:firstLine="720"/>
        <w:jc w:val="both"/>
        <w:rPr>
          <w:lang w:val="es-ES"/>
        </w:rPr>
      </w:pPr>
      <w:r w:rsidRPr="007C00D9">
        <w:rPr>
          <w:b/>
          <w:lang w:val="es-ES"/>
        </w:rPr>
        <w:t>4.</w:t>
      </w:r>
      <w:r w:rsidRPr="007C00D9">
        <w:rPr>
          <w:lang w:val="es-ES"/>
        </w:rPr>
        <w:t xml:space="preserve"> Thường xuyên rà soát các quy định, thủ tục hành chính để kịp thời kiến nghị cấp có thẩm quyền sửa đổi, bổ sung, thay thế hoặc hủy bỏ thủ tục hành chính cho phù hợp.</w:t>
      </w:r>
    </w:p>
    <w:p w:rsidR="004F0215" w:rsidRPr="007C00D9" w:rsidRDefault="00CF188A" w:rsidP="00286028">
      <w:pPr>
        <w:spacing w:before="120" w:after="120"/>
        <w:ind w:firstLine="720"/>
        <w:jc w:val="both"/>
        <w:rPr>
          <w:lang w:val="es-ES"/>
        </w:rPr>
      </w:pPr>
      <w:r w:rsidRPr="007C00D9">
        <w:rPr>
          <w:b/>
          <w:lang w:val="es-ES"/>
        </w:rPr>
        <w:t>5.</w:t>
      </w:r>
      <w:r w:rsidRPr="007C00D9">
        <w:rPr>
          <w:lang w:val="es-ES"/>
        </w:rPr>
        <w:t xml:space="preserve"> Xây dựng và hoàn thiện cơ sở dữ liệu pháp luật về doanh nghiệp; tạo lập chuyên mục có nội dung “Hỗ trợ pháp lý cho doanh nghiệp” trên trang thông tin điện tử của Sở, </w:t>
      </w:r>
      <w:r w:rsidR="00C51332" w:rsidRPr="007C00D9">
        <w:rPr>
          <w:lang w:val="es-ES"/>
        </w:rPr>
        <w:t>tạo</w:t>
      </w:r>
      <w:r w:rsidRPr="007C00D9">
        <w:rPr>
          <w:lang w:val="es-ES"/>
        </w:rPr>
        <w:t xml:space="preserve"> điều kiện </w:t>
      </w:r>
      <w:r w:rsidR="0052240B" w:rsidRPr="007C00D9">
        <w:rPr>
          <w:lang w:val="es-ES"/>
        </w:rPr>
        <w:t>thuận lợi cho doanh nghiệp</w:t>
      </w:r>
      <w:r w:rsidRPr="007C00D9">
        <w:rPr>
          <w:lang w:val="es-ES"/>
        </w:rPr>
        <w:t xml:space="preserve"> tra cứu, tìm hiểu các quy định</w:t>
      </w:r>
      <w:r w:rsidR="0052240B" w:rsidRPr="007C00D9">
        <w:rPr>
          <w:lang w:val="es-ES"/>
        </w:rPr>
        <w:t xml:space="preserve"> pháp luật</w:t>
      </w:r>
      <w:r w:rsidRPr="007C00D9">
        <w:rPr>
          <w:lang w:val="es-ES"/>
        </w:rPr>
        <w:t xml:space="preserve"> hiện hành</w:t>
      </w:r>
      <w:proofErr w:type="gramStart"/>
      <w:r w:rsidRPr="007C00D9">
        <w:rPr>
          <w:lang w:val="es-ES"/>
        </w:rPr>
        <w:t>.</w:t>
      </w:r>
      <w:r w:rsidR="00286028" w:rsidRPr="007C00D9">
        <w:rPr>
          <w:lang w:val="es-ES"/>
        </w:rPr>
        <w:t>/</w:t>
      </w:r>
      <w:proofErr w:type="gramEnd"/>
      <w:r w:rsidR="00286028" w:rsidRPr="007C00D9">
        <w:rPr>
          <w:lang w:val="es-ES"/>
        </w:rPr>
        <w:t>.</w:t>
      </w:r>
    </w:p>
    <w:tbl>
      <w:tblPr>
        <w:tblW w:w="9720" w:type="dxa"/>
        <w:tblInd w:w="108" w:type="dxa"/>
        <w:tblLayout w:type="fixed"/>
        <w:tblLook w:val="0000"/>
      </w:tblPr>
      <w:tblGrid>
        <w:gridCol w:w="4500"/>
        <w:gridCol w:w="5220"/>
      </w:tblGrid>
      <w:tr w:rsidR="00CF188A" w:rsidRPr="007C00D9">
        <w:trPr>
          <w:trHeight w:val="1876"/>
        </w:trPr>
        <w:tc>
          <w:tcPr>
            <w:tcW w:w="4500" w:type="dxa"/>
          </w:tcPr>
          <w:p w:rsidR="00CF188A" w:rsidRPr="007C00D9" w:rsidRDefault="00CF188A" w:rsidP="00CF188A">
            <w:pPr>
              <w:tabs>
                <w:tab w:val="left" w:pos="720"/>
                <w:tab w:val="left" w:pos="1440"/>
                <w:tab w:val="left" w:pos="2160"/>
                <w:tab w:val="left" w:pos="2880"/>
                <w:tab w:val="left" w:pos="3600"/>
                <w:tab w:val="left" w:pos="4320"/>
                <w:tab w:val="left" w:pos="5040"/>
                <w:tab w:val="left" w:pos="5760"/>
                <w:tab w:val="left" w:pos="7095"/>
              </w:tabs>
              <w:rPr>
                <w:sz w:val="24"/>
                <w:szCs w:val="24"/>
                <w:lang w:val="es-ES"/>
              </w:rPr>
            </w:pPr>
            <w:r w:rsidRPr="007C00D9">
              <w:rPr>
                <w:b/>
                <w:i/>
                <w:sz w:val="24"/>
                <w:szCs w:val="24"/>
                <w:lang w:val="es-ES"/>
              </w:rPr>
              <w:t>Nơi nhận</w:t>
            </w:r>
            <w:r w:rsidRPr="007C00D9">
              <w:rPr>
                <w:sz w:val="24"/>
                <w:szCs w:val="24"/>
                <w:lang w:val="es-ES"/>
              </w:rPr>
              <w:t xml:space="preserve">: </w:t>
            </w:r>
          </w:p>
          <w:p w:rsidR="00CF188A" w:rsidRPr="007C00D9" w:rsidRDefault="00CF188A" w:rsidP="00CF188A">
            <w:pPr>
              <w:rPr>
                <w:sz w:val="22"/>
                <w:lang w:val="es-ES"/>
              </w:rPr>
            </w:pPr>
            <w:r w:rsidRPr="007C00D9">
              <w:rPr>
                <w:sz w:val="22"/>
                <w:lang w:val="es-ES"/>
              </w:rPr>
              <w:t>- Sở Kế hoạch và Đầu tư;</w:t>
            </w:r>
          </w:p>
          <w:p w:rsidR="00CF188A" w:rsidRPr="007C00D9" w:rsidRDefault="00CF188A" w:rsidP="00CF188A">
            <w:pPr>
              <w:rPr>
                <w:sz w:val="22"/>
                <w:lang w:val="es-ES"/>
              </w:rPr>
            </w:pPr>
            <w:r w:rsidRPr="007C00D9">
              <w:rPr>
                <w:sz w:val="22"/>
                <w:lang w:val="es-ES"/>
              </w:rPr>
              <w:t>- Lãnh đạo Sở;</w:t>
            </w:r>
            <w:r w:rsidRPr="007C00D9">
              <w:rPr>
                <w:sz w:val="22"/>
                <w:lang w:val="es-ES"/>
              </w:rPr>
              <w:tab/>
            </w:r>
            <w:r w:rsidRPr="007C00D9">
              <w:rPr>
                <w:sz w:val="22"/>
                <w:lang w:val="es-ES"/>
              </w:rPr>
              <w:tab/>
            </w:r>
          </w:p>
          <w:p w:rsidR="00CF188A" w:rsidRPr="007C00D9" w:rsidRDefault="00CF188A" w:rsidP="00CF188A">
            <w:pPr>
              <w:tabs>
                <w:tab w:val="left" w:pos="720"/>
                <w:tab w:val="left" w:pos="1440"/>
                <w:tab w:val="left" w:pos="2160"/>
                <w:tab w:val="left" w:pos="2880"/>
                <w:tab w:val="left" w:pos="3600"/>
                <w:tab w:val="left" w:pos="4320"/>
                <w:tab w:val="left" w:pos="5040"/>
                <w:tab w:val="left" w:pos="5760"/>
                <w:tab w:val="left" w:pos="7095"/>
              </w:tabs>
              <w:rPr>
                <w:sz w:val="24"/>
                <w:szCs w:val="24"/>
                <w:lang w:val="es-ES"/>
              </w:rPr>
            </w:pPr>
            <w:r w:rsidRPr="007C00D9">
              <w:rPr>
                <w:sz w:val="22"/>
                <w:lang w:val="es-ES"/>
              </w:rPr>
              <w:t>- Lưu: VT, TH.</w:t>
            </w:r>
          </w:p>
        </w:tc>
        <w:tc>
          <w:tcPr>
            <w:tcW w:w="5220" w:type="dxa"/>
          </w:tcPr>
          <w:p w:rsidR="002B7B0F" w:rsidRPr="007C00D9" w:rsidRDefault="00CF188A" w:rsidP="00AC6CDD">
            <w:pPr>
              <w:tabs>
                <w:tab w:val="left" w:pos="720"/>
                <w:tab w:val="left" w:pos="1440"/>
                <w:tab w:val="left" w:pos="2160"/>
                <w:tab w:val="left" w:pos="2880"/>
                <w:tab w:val="left" w:pos="3600"/>
                <w:tab w:val="left" w:pos="4320"/>
                <w:tab w:val="left" w:pos="5040"/>
                <w:tab w:val="left" w:pos="5760"/>
                <w:tab w:val="left" w:pos="7095"/>
              </w:tabs>
              <w:jc w:val="center"/>
              <w:rPr>
                <w:b/>
                <w:lang w:val="es-ES"/>
              </w:rPr>
            </w:pPr>
            <w:r w:rsidRPr="007C00D9">
              <w:rPr>
                <w:b/>
                <w:lang w:val="es-ES"/>
              </w:rPr>
              <w:t>GIÁM ĐỐC</w:t>
            </w:r>
          </w:p>
          <w:p w:rsidR="00AC6CDD" w:rsidRPr="007C00D9" w:rsidRDefault="00AC6CDD" w:rsidP="00AC6CDD">
            <w:pPr>
              <w:tabs>
                <w:tab w:val="left" w:pos="720"/>
                <w:tab w:val="left" w:pos="1440"/>
                <w:tab w:val="left" w:pos="2160"/>
                <w:tab w:val="left" w:pos="2880"/>
                <w:tab w:val="left" w:pos="3600"/>
                <w:tab w:val="left" w:pos="4320"/>
                <w:tab w:val="left" w:pos="5040"/>
                <w:tab w:val="left" w:pos="5760"/>
                <w:tab w:val="left" w:pos="7095"/>
              </w:tabs>
              <w:jc w:val="center"/>
              <w:rPr>
                <w:b/>
                <w:lang w:val="es-ES"/>
              </w:rPr>
            </w:pPr>
          </w:p>
          <w:p w:rsidR="00286028" w:rsidRPr="007C00D9" w:rsidRDefault="00AC6CDD" w:rsidP="00AC6CDD">
            <w:pPr>
              <w:tabs>
                <w:tab w:val="left" w:pos="720"/>
                <w:tab w:val="left" w:pos="1440"/>
                <w:tab w:val="left" w:pos="2160"/>
                <w:tab w:val="left" w:pos="2880"/>
                <w:tab w:val="left" w:pos="3600"/>
                <w:tab w:val="left" w:pos="4320"/>
                <w:tab w:val="left" w:pos="5040"/>
                <w:tab w:val="left" w:pos="5760"/>
                <w:tab w:val="left" w:pos="7095"/>
              </w:tabs>
              <w:jc w:val="center"/>
              <w:rPr>
                <w:b/>
                <w:lang w:val="es-ES"/>
              </w:rPr>
            </w:pPr>
            <w:r w:rsidRPr="007C00D9">
              <w:rPr>
                <w:b/>
                <w:lang w:val="es-ES"/>
              </w:rPr>
              <w:t>(Đã ký)</w:t>
            </w:r>
          </w:p>
          <w:p w:rsidR="00AC6CDD" w:rsidRPr="007C00D9" w:rsidRDefault="00AC6CDD" w:rsidP="00AC6CDD">
            <w:pPr>
              <w:tabs>
                <w:tab w:val="left" w:pos="720"/>
                <w:tab w:val="left" w:pos="1440"/>
                <w:tab w:val="left" w:pos="2160"/>
                <w:tab w:val="left" w:pos="2880"/>
                <w:tab w:val="left" w:pos="3600"/>
                <w:tab w:val="left" w:pos="4320"/>
                <w:tab w:val="left" w:pos="5040"/>
                <w:tab w:val="left" w:pos="5760"/>
                <w:tab w:val="left" w:pos="7095"/>
              </w:tabs>
              <w:jc w:val="center"/>
              <w:rPr>
                <w:b/>
                <w:lang w:val="es-ES"/>
              </w:rPr>
            </w:pPr>
          </w:p>
          <w:p w:rsidR="00286028" w:rsidRPr="007C00D9" w:rsidRDefault="00286028" w:rsidP="00286028">
            <w:pPr>
              <w:tabs>
                <w:tab w:val="left" w:pos="720"/>
                <w:tab w:val="left" w:pos="1440"/>
                <w:tab w:val="left" w:pos="2160"/>
                <w:tab w:val="left" w:pos="2880"/>
                <w:tab w:val="left" w:pos="3600"/>
                <w:tab w:val="left" w:pos="4320"/>
                <w:tab w:val="left" w:pos="5040"/>
                <w:tab w:val="left" w:pos="5760"/>
                <w:tab w:val="left" w:pos="7095"/>
              </w:tabs>
              <w:jc w:val="center"/>
              <w:rPr>
                <w:b/>
                <w:lang w:val="es-ES"/>
              </w:rPr>
            </w:pPr>
            <w:r w:rsidRPr="007C00D9">
              <w:rPr>
                <w:b/>
                <w:lang w:val="es-ES"/>
              </w:rPr>
              <w:t>Nguyễn Công Danh</w:t>
            </w:r>
          </w:p>
        </w:tc>
      </w:tr>
    </w:tbl>
    <w:p w:rsidR="00CF188A" w:rsidRPr="007C00D9" w:rsidRDefault="00CF188A">
      <w:pPr>
        <w:rPr>
          <w:lang w:val="es-ES"/>
        </w:rPr>
      </w:pPr>
    </w:p>
    <w:sectPr w:rsidR="00CF188A" w:rsidRPr="007C00D9" w:rsidSect="00F43445">
      <w:footerReference w:type="even" r:id="rId6"/>
      <w:footerReference w:type="default" r:id="rId7"/>
      <w:pgSz w:w="11907" w:h="16839" w:code="9"/>
      <w:pgMar w:top="737" w:right="851" w:bottom="73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2F9" w:rsidRDefault="00C922F9">
      <w:r>
        <w:separator/>
      </w:r>
    </w:p>
  </w:endnote>
  <w:endnote w:type="continuationSeparator" w:id="0">
    <w:p w:rsidR="00C922F9" w:rsidRDefault="00C922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28" w:rsidRDefault="00286028" w:rsidP="00862E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028" w:rsidRDefault="00286028" w:rsidP="00A91E0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28" w:rsidRPr="00862E59" w:rsidRDefault="00286028" w:rsidP="00513988">
    <w:pPr>
      <w:pStyle w:val="Footer"/>
      <w:framePr w:wrap="around" w:vAnchor="text" w:hAnchor="margin" w:xAlign="right" w:y="1"/>
      <w:rPr>
        <w:rStyle w:val="PageNumber"/>
        <w:sz w:val="20"/>
        <w:szCs w:val="20"/>
      </w:rPr>
    </w:pPr>
    <w:r w:rsidRPr="00862E59">
      <w:rPr>
        <w:rStyle w:val="PageNumber"/>
        <w:sz w:val="20"/>
        <w:szCs w:val="20"/>
      </w:rPr>
      <w:fldChar w:fldCharType="begin"/>
    </w:r>
    <w:r w:rsidRPr="00862E59">
      <w:rPr>
        <w:rStyle w:val="PageNumber"/>
        <w:sz w:val="20"/>
        <w:szCs w:val="20"/>
      </w:rPr>
      <w:instrText xml:space="preserve">PAGE  </w:instrText>
    </w:r>
    <w:r w:rsidRPr="00862E59">
      <w:rPr>
        <w:rStyle w:val="PageNumber"/>
        <w:sz w:val="20"/>
        <w:szCs w:val="20"/>
      </w:rPr>
      <w:fldChar w:fldCharType="separate"/>
    </w:r>
    <w:r w:rsidR="007C00D9">
      <w:rPr>
        <w:rStyle w:val="PageNumber"/>
        <w:noProof/>
        <w:sz w:val="20"/>
        <w:szCs w:val="20"/>
      </w:rPr>
      <w:t>3</w:t>
    </w:r>
    <w:r w:rsidRPr="00862E59">
      <w:rPr>
        <w:rStyle w:val="PageNumber"/>
        <w:sz w:val="20"/>
        <w:szCs w:val="20"/>
      </w:rPr>
      <w:fldChar w:fldCharType="end"/>
    </w:r>
  </w:p>
  <w:p w:rsidR="00286028" w:rsidRDefault="00286028" w:rsidP="00A91E08">
    <w:pPr>
      <w:pStyle w:val="Footer"/>
      <w:ind w:right="360"/>
      <w:jc w:val="right"/>
    </w:pPr>
  </w:p>
  <w:p w:rsidR="00286028" w:rsidRDefault="00286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2F9" w:rsidRDefault="00C922F9">
      <w:r>
        <w:separator/>
      </w:r>
    </w:p>
  </w:footnote>
  <w:footnote w:type="continuationSeparator" w:id="0">
    <w:p w:rsidR="00C922F9" w:rsidRDefault="00C922F9">
      <w:r>
        <w:continuationSeparator/>
      </w:r>
    </w:p>
  </w:footnote>
  <w:footnote w:id="1">
    <w:p w:rsidR="00286028" w:rsidRDefault="00286028" w:rsidP="00E33EF1">
      <w:pPr>
        <w:ind w:firstLine="567"/>
        <w:jc w:val="both"/>
        <w:rPr>
          <w:sz w:val="20"/>
          <w:szCs w:val="20"/>
        </w:rPr>
      </w:pPr>
      <w:r>
        <w:rPr>
          <w:rStyle w:val="FootnoteReference"/>
          <w:sz w:val="20"/>
          <w:szCs w:val="20"/>
        </w:rPr>
        <w:footnoteRef/>
      </w:r>
      <w:r>
        <w:rPr>
          <w:sz w:val="20"/>
          <w:szCs w:val="20"/>
        </w:rPr>
        <w:t xml:space="preserve"> Quyết định bổ sung giá đất ở của các trục đường thuộc Khu Dân cư Tân An (giai đoạn 2) tại xã An Hòa, huyện Tuy An vào bảng giá các loại đất trên địa bàn tỉnh 5 năm (2015-2019) ban hành kèm theo quyết định số 56/2014/QĐ-UBND ngày 29/12/2014 của UBND tỉnh; Quyết định về việc bổ sung hệ số điều chỉnh giá đất thị xã Sông Cầu vào Bảng hệ số điều chỉnh giá đất năm 2016 trên địa bàn tỉnh; Quyết định về việc điều chỉnh, bổ sung hệ số điều chỉnh giá đất ở nông thôn tại huyện Tây Hòa vào Bảng hệ số điều chỉnh giá đất năm 2016 trên địa bàn tỉnh; Quyết định bổ sung giá đất đường kè đầm Cù Mông, thị xã Sông Cầu vào Bảng giá các loại đất trên địa bàn tỉnh theo Quyết định số 56/2014/QĐ-UBND; Quyết định ủy quyền cho Chủ tịch UBND các huyện, thị xã, thành phố thực hiện phân loại, xếp hạng các đơn vị sự nghiệp, dịch vụ công trực thuộc; Quyết định về việc phân cấp quản lý nhà nước đối với tài sản nhà nước tại các cơ quan hành chính, tổ chức, đơn vị sự nghiệp công lập thuộc phạm vi tỉnh quản lý; Quyết định ban hành Quy chế liên thông giải quyết thủ tục hành chính thuộc thẩm quyền giải quyết của UBND cấp huyện nhưng có sự liên quan với UBND cấp xã trên địa bàn tỉnh; Quyết định ban hành Quy chế giám sát tài chính và đánh giá hiệu quả hoạt động các doanh nghiệp nhà nước và doanh nghiệp có vốn nhà nước do UBND tỉnh quản lý; Quyết định về việc ban hành quy chế phối hợp giữa lực lượng Công an và các cơ quan, tổ chức của ngành văn hóa, thể thao, du lịch trong công tác bảo vệ an ninh quốc gia và bảo đảm trật tự, an toàn xã hội trong lĩnh vực văn hóa, gia đình, thể du lịch trên địa bàn tỉnh; Nghị quyết quy hoạch, điều chỉnh, bổ sung quy hoạch thăm dò, khai thác, chế biến khoáng sản trên địa bàn tỉnh đến 2020, tầm nhìn 2030; Quyết định về việc sửa đổi, bổ sung quy chế quản lý hệ thống thôn tin liên lạc phục vụ khai thác hải sản, phòng tránh và giảm nhẹ thiên tai cho người và tàu cá của tỉnh Phú Yên hoạt động trên biển ban hành theo Quyết định số 1458/QĐ-UBND ngày 30/6/2016 của UBND tỉnh.</w:t>
      </w:r>
    </w:p>
    <w:p w:rsidR="00286028" w:rsidRDefault="00286028" w:rsidP="00CF1C08">
      <w:pPr>
        <w:pStyle w:val="FootnoteText"/>
        <w:rPr>
          <w:sz w:val="2"/>
        </w:rPr>
      </w:pPr>
    </w:p>
  </w:footnote>
  <w:footnote w:id="2">
    <w:p w:rsidR="00286028" w:rsidRPr="00E33EF1" w:rsidRDefault="00286028" w:rsidP="00E33EF1">
      <w:pPr>
        <w:ind w:firstLine="720"/>
        <w:jc w:val="both"/>
        <w:rPr>
          <w:sz w:val="20"/>
          <w:szCs w:val="20"/>
        </w:rPr>
      </w:pPr>
      <w:r>
        <w:rPr>
          <w:rStyle w:val="FootnoteReference"/>
          <w:sz w:val="20"/>
          <w:szCs w:val="20"/>
        </w:rPr>
        <w:footnoteRef/>
      </w:r>
      <w:r>
        <w:rPr>
          <w:sz w:val="20"/>
          <w:szCs w:val="20"/>
        </w:rPr>
        <w:t xml:space="preserve"> 06 văn bản trung ương: Thông tư quy định mức thu, chế độ thu, nộp và quản lý sử dụng phí chứng nhận lãnh sự và hợp pháp hóa lãnh sự; Thông tư sửa đổi, bổ sung Thông tư số 56/2014/TT-BTC; Thông tư hướng dẫn chế </w:t>
      </w:r>
      <w:r w:rsidRPr="00913C5A">
        <w:rPr>
          <w:sz w:val="20"/>
          <w:szCs w:val="20"/>
        </w:rPr>
        <w:t xml:space="preserve">độ thu, nộp, quản lý và sử dụng phí chứng thực; Nghị định quy định về thủ tục miễn, giảm, xóa nợ tiền sử đụng dất, tiền thuê đất của một số trường hợp, xử lý tiền sử dụng đất đã nộp, tiền nhận chuyển nhượng quyền sử dụng đất đã trả của chủ đầu tư dự án nhà ở xã hội và xác định tiền sử dụng đất đã nộp khi bán nhà ở xã hội; Thông tư thu phí, lệ phí trong lĩnh vực tư pháp; Luật Tín ngưỡng tôn giáo và </w:t>
      </w:r>
      <w:r w:rsidRPr="00913C5A">
        <w:rPr>
          <w:i/>
          <w:sz w:val="20"/>
          <w:szCs w:val="20"/>
        </w:rPr>
        <w:t>05 văn bản địa phương:</w:t>
      </w:r>
      <w:r w:rsidRPr="00913C5A">
        <w:rPr>
          <w:sz w:val="20"/>
          <w:szCs w:val="20"/>
        </w:rPr>
        <w:t xml:space="preserve"> Đề án xây dựng đội ngũ và mức phụ cấp cộng tác viên làm công tác văn hóa, gia đình, thể thảo và du lịch ở thông buôn khu phố trên địa bàn tỉnh; Quyết định ban hành quy trình hướng dẫn các thủ tục hành chính đầu tư vào Khu nông nghiệp ứng dụng công nghệ cao Phú Yên; Nghị quyết nội dung và mức chi của các cuộc điều tra thống kê do ngân sách địa phương đảm bảo; Quyết định ban hành Quy chế phối hợp quản lý hoạt động quảng cáo ngoài trời trên địa bàn tỉnh; Đề án bê tông hóa đường giao thông nông thôn tỉnh Phú Yên giai đoạn 2017-2020.</w:t>
      </w:r>
    </w:p>
  </w:footnote>
  <w:footnote w:id="3">
    <w:p w:rsidR="00286028" w:rsidRPr="00913C5A" w:rsidRDefault="00286028" w:rsidP="00CF1C08">
      <w:pPr>
        <w:pStyle w:val="FootnoteText"/>
        <w:rPr>
          <w:rFonts w:ascii="Times New Roman" w:hAnsi="Times New Roman" w:hint="eastAsia"/>
        </w:rPr>
      </w:pPr>
      <w:r w:rsidRPr="00913C5A">
        <w:rPr>
          <w:rStyle w:val="FootnoteReference"/>
          <w:rFonts w:ascii="Times New Roman" w:hAnsi="Times New Roman"/>
        </w:rPr>
        <w:footnoteRef/>
      </w:r>
      <w:r w:rsidRPr="00913C5A">
        <w:rPr>
          <w:rFonts w:ascii="Times New Roman" w:hAnsi="Times New Roman"/>
        </w:rPr>
        <w:t xml:space="preserve"> </w:t>
      </w:r>
      <w:proofErr w:type="gramStart"/>
      <w:r w:rsidRPr="00913C5A">
        <w:rPr>
          <w:rFonts w:ascii="Times New Roman" w:hAnsi="Times New Roman"/>
        </w:rPr>
        <w:t xml:space="preserve">Quyết định </w:t>
      </w:r>
      <w:r w:rsidRPr="00913C5A">
        <w:rPr>
          <w:rFonts w:ascii="Times New Roman" w:hAnsi="Times New Roman"/>
          <w:color w:val="000000"/>
        </w:rPr>
        <w:t xml:space="preserve">số 2389/QĐ-UBND ngày 10/10/2016; </w:t>
      </w:r>
      <w:r w:rsidRPr="00913C5A">
        <w:rPr>
          <w:rFonts w:ascii="Times New Roman" w:hAnsi="Times New Roman"/>
        </w:rPr>
        <w:t xml:space="preserve">Quyết định </w:t>
      </w:r>
      <w:r w:rsidRPr="00913C5A">
        <w:rPr>
          <w:rFonts w:ascii="Times New Roman" w:hAnsi="Times New Roman"/>
          <w:color w:val="000000"/>
        </w:rPr>
        <w:t>số 2390/QĐ-UBND.</w:t>
      </w:r>
      <w:proofErr w:type="gramEnd"/>
    </w:p>
  </w:footnote>
  <w:footnote w:id="4">
    <w:p w:rsidR="00286028" w:rsidRPr="00913C5A" w:rsidRDefault="00286028" w:rsidP="00CF1C08">
      <w:pPr>
        <w:pStyle w:val="FootnoteText"/>
        <w:rPr>
          <w:rFonts w:ascii="Times New Roman" w:hAnsi="Times New Roman"/>
        </w:rPr>
      </w:pPr>
      <w:r w:rsidRPr="00913C5A">
        <w:rPr>
          <w:rStyle w:val="FootnoteReference"/>
          <w:rFonts w:ascii="Times New Roman" w:hAnsi="Times New Roman"/>
        </w:rPr>
        <w:footnoteRef/>
      </w:r>
      <w:r w:rsidRPr="00913C5A">
        <w:rPr>
          <w:rFonts w:ascii="Times New Roman" w:hAnsi="Times New Roman"/>
        </w:rPr>
        <w:t xml:space="preserve"> </w:t>
      </w:r>
      <w:r w:rsidRPr="00913C5A">
        <w:rPr>
          <w:rFonts w:ascii="Times New Roman" w:hAnsi="Times New Roman"/>
          <w:lang w:val="es-ES"/>
        </w:rPr>
        <w:t>các Sở: Tư pháp; Văn hóa, Thể thao và Du lịch; Công thương và Ban Quản lý khu kinh tế tỉnh Phú Yên.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F01"/>
  <w:defaultTabStop w:val="720"/>
  <w:characterSpacingControl w:val="doNotCompress"/>
  <w:footnotePr>
    <w:footnote w:id="-1"/>
    <w:footnote w:id="0"/>
  </w:footnotePr>
  <w:endnotePr>
    <w:endnote w:id="-1"/>
    <w:endnote w:id="0"/>
  </w:endnotePr>
  <w:compat/>
  <w:rsids>
    <w:rsidRoot w:val="00CF188A"/>
    <w:rsid w:val="00012DE6"/>
    <w:rsid w:val="000E5EA4"/>
    <w:rsid w:val="00122B37"/>
    <w:rsid w:val="00131527"/>
    <w:rsid w:val="00156772"/>
    <w:rsid w:val="00286028"/>
    <w:rsid w:val="002B7B0F"/>
    <w:rsid w:val="002C5689"/>
    <w:rsid w:val="003616B5"/>
    <w:rsid w:val="0037771A"/>
    <w:rsid w:val="003C2FDC"/>
    <w:rsid w:val="0040044A"/>
    <w:rsid w:val="00467488"/>
    <w:rsid w:val="0047009F"/>
    <w:rsid w:val="00480E37"/>
    <w:rsid w:val="00495B26"/>
    <w:rsid w:val="004C7648"/>
    <w:rsid w:val="004F0215"/>
    <w:rsid w:val="00505479"/>
    <w:rsid w:val="00513988"/>
    <w:rsid w:val="0052240B"/>
    <w:rsid w:val="005228E5"/>
    <w:rsid w:val="00556D2B"/>
    <w:rsid w:val="005E1196"/>
    <w:rsid w:val="00680E88"/>
    <w:rsid w:val="006E4AA2"/>
    <w:rsid w:val="0074370E"/>
    <w:rsid w:val="007C00D9"/>
    <w:rsid w:val="00862E59"/>
    <w:rsid w:val="008B37B3"/>
    <w:rsid w:val="00910040"/>
    <w:rsid w:val="00913C5A"/>
    <w:rsid w:val="00930BBB"/>
    <w:rsid w:val="0095043E"/>
    <w:rsid w:val="009A43F8"/>
    <w:rsid w:val="00A0507E"/>
    <w:rsid w:val="00A10071"/>
    <w:rsid w:val="00A312C5"/>
    <w:rsid w:val="00A64CDF"/>
    <w:rsid w:val="00A83B6A"/>
    <w:rsid w:val="00A91E08"/>
    <w:rsid w:val="00AC6CDD"/>
    <w:rsid w:val="00AE3E69"/>
    <w:rsid w:val="00B34A9F"/>
    <w:rsid w:val="00B50F7D"/>
    <w:rsid w:val="00B90F68"/>
    <w:rsid w:val="00B9127F"/>
    <w:rsid w:val="00C0195F"/>
    <w:rsid w:val="00C17D05"/>
    <w:rsid w:val="00C51332"/>
    <w:rsid w:val="00C56294"/>
    <w:rsid w:val="00C921CC"/>
    <w:rsid w:val="00C922F9"/>
    <w:rsid w:val="00C93432"/>
    <w:rsid w:val="00C95067"/>
    <w:rsid w:val="00CD71F6"/>
    <w:rsid w:val="00CF188A"/>
    <w:rsid w:val="00CF1C08"/>
    <w:rsid w:val="00CF405A"/>
    <w:rsid w:val="00E33EF1"/>
    <w:rsid w:val="00EF0469"/>
    <w:rsid w:val="00F43445"/>
    <w:rsid w:val="00F533D7"/>
    <w:rsid w:val="00F8644E"/>
    <w:rsid w:val="00FA0D4B"/>
    <w:rsid w:val="00FF3263"/>
    <w:rsid w:val="00FF5490"/>
    <w:rsid w:val="00FF5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nhideWhenUsed/>
    <w:rsid w:val="00CF188A"/>
    <w:pPr>
      <w:tabs>
        <w:tab w:val="center" w:pos="4680"/>
        <w:tab w:val="right" w:pos="9360"/>
      </w:tabs>
      <w:spacing w:after="200" w:line="276" w:lineRule="auto"/>
    </w:pPr>
    <w:rPr>
      <w:rFonts w:eastAsia="Calibri"/>
      <w:szCs w:val="22"/>
      <w:lang/>
    </w:rPr>
  </w:style>
  <w:style w:type="character" w:customStyle="1" w:styleId="FooterChar">
    <w:name w:val="Footer Char"/>
    <w:link w:val="Footer"/>
    <w:rsid w:val="00CF188A"/>
    <w:rPr>
      <w:rFonts w:eastAsia="Calibri"/>
      <w:sz w:val="28"/>
      <w:szCs w:val="22"/>
      <w:lang w:bidi="ar-SA"/>
    </w:rPr>
  </w:style>
  <w:style w:type="paragraph" w:styleId="NormalWeb">
    <w:name w:val="Normal (Web)"/>
    <w:basedOn w:val="Normal"/>
    <w:link w:val="NormalWebChar"/>
    <w:rsid w:val="00CF188A"/>
    <w:pPr>
      <w:spacing w:before="100" w:beforeAutospacing="1" w:after="100" w:afterAutospacing="1"/>
    </w:pPr>
    <w:rPr>
      <w:rFonts w:ascii="Verdana" w:hAnsi="Verdana"/>
      <w:i/>
      <w:iCs/>
      <w:color w:val="000000"/>
      <w:sz w:val="21"/>
      <w:szCs w:val="21"/>
    </w:rPr>
  </w:style>
  <w:style w:type="character" w:customStyle="1" w:styleId="Vnbnnidung3">
    <w:name w:val="Văn bản nội dung (3)_"/>
    <w:link w:val="Vnbnnidung31"/>
    <w:locked/>
    <w:rsid w:val="00CF188A"/>
    <w:rPr>
      <w:b/>
      <w:bCs/>
      <w:sz w:val="26"/>
      <w:szCs w:val="26"/>
      <w:shd w:val="clear" w:color="auto" w:fill="FFFFFF"/>
      <w:lang w:bidi="ar-SA"/>
    </w:rPr>
  </w:style>
  <w:style w:type="paragraph" w:customStyle="1" w:styleId="Vnbnnidung31">
    <w:name w:val="Văn bản nội dung (3)1"/>
    <w:basedOn w:val="Normal"/>
    <w:link w:val="Vnbnnidung3"/>
    <w:rsid w:val="00CF188A"/>
    <w:pPr>
      <w:widowControl w:val="0"/>
      <w:shd w:val="clear" w:color="auto" w:fill="FFFFFF"/>
      <w:spacing w:after="300" w:line="310" w:lineRule="exact"/>
      <w:jc w:val="center"/>
    </w:pPr>
    <w:rPr>
      <w:b/>
      <w:bCs/>
      <w:sz w:val="26"/>
      <w:szCs w:val="26"/>
      <w:shd w:val="clear" w:color="auto" w:fill="FFFFFF"/>
      <w:lang/>
    </w:rPr>
  </w:style>
  <w:style w:type="paragraph" w:customStyle="1" w:styleId="Char">
    <w:name w:val=" Char"/>
    <w:autoRedefine/>
    <w:rsid w:val="00556D2B"/>
    <w:pPr>
      <w:tabs>
        <w:tab w:val="left" w:pos="1152"/>
      </w:tabs>
      <w:spacing w:before="120" w:after="120" w:line="312" w:lineRule="auto"/>
    </w:pPr>
    <w:rPr>
      <w:rFonts w:ascii="Arial" w:hAnsi="Arial" w:cs="Arial"/>
      <w:sz w:val="26"/>
      <w:szCs w:val="26"/>
    </w:rPr>
  </w:style>
  <w:style w:type="character" w:customStyle="1" w:styleId="NormalWebChar">
    <w:name w:val="Normal (Web) Char"/>
    <w:link w:val="NormalWeb"/>
    <w:locked/>
    <w:rsid w:val="00556D2B"/>
    <w:rPr>
      <w:rFonts w:ascii="Verdana" w:hAnsi="Verdana"/>
      <w:i/>
      <w:iCs/>
      <w:color w:val="000000"/>
      <w:sz w:val="21"/>
      <w:szCs w:val="21"/>
      <w:lang w:val="en-US" w:eastAsia="en-US" w:bidi="ar-SA"/>
    </w:rPr>
  </w:style>
  <w:style w:type="character" w:styleId="PageNumber">
    <w:name w:val="page number"/>
    <w:basedOn w:val="DefaultParagraphFont"/>
    <w:rsid w:val="00A91E08"/>
  </w:style>
  <w:style w:type="character" w:customStyle="1" w:styleId="FootnoteTextChar">
    <w:name w:val="Footnote Text Char"/>
    <w:link w:val="FootnoteText"/>
    <w:semiHidden/>
    <w:locked/>
    <w:rsid w:val="00CF1C08"/>
    <w:rPr>
      <w:rFonts w:ascii="SimSun" w:eastAsia="SimSun" w:hAnsi="SimSun"/>
      <w:lang w:val="en-US" w:eastAsia="en-US" w:bidi="ar-SA"/>
    </w:rPr>
  </w:style>
  <w:style w:type="paragraph" w:styleId="FootnoteText">
    <w:name w:val="footnote text"/>
    <w:basedOn w:val="Normal"/>
    <w:link w:val="FootnoteTextChar"/>
    <w:semiHidden/>
    <w:rsid w:val="00CF1C08"/>
    <w:rPr>
      <w:rFonts w:ascii="SimSun" w:eastAsia="SimSun" w:hAnsi="SimSun"/>
      <w:sz w:val="20"/>
      <w:szCs w:val="20"/>
    </w:rPr>
  </w:style>
  <w:style w:type="paragraph" w:customStyle="1" w:styleId="p0">
    <w:name w:val="p0"/>
    <w:basedOn w:val="Normal"/>
    <w:rsid w:val="00CF1C08"/>
  </w:style>
  <w:style w:type="paragraph" w:customStyle="1" w:styleId="CharCharCharChar">
    <w:name w:val="Char Char Char Char"/>
    <w:basedOn w:val="Normal"/>
    <w:rsid w:val="00CF1C08"/>
    <w:pPr>
      <w:spacing w:after="160" w:line="240" w:lineRule="exact"/>
    </w:pPr>
    <w:rPr>
      <w:rFonts w:ascii="Verdana" w:hAnsi="Verdana"/>
      <w:sz w:val="20"/>
      <w:szCs w:val="20"/>
    </w:rPr>
  </w:style>
  <w:style w:type="character" w:styleId="FootnoteReference">
    <w:name w:val="footnote reference"/>
    <w:aliases w:val="Footnote"/>
    <w:semiHidden/>
    <w:rsid w:val="00CF1C08"/>
    <w:rPr>
      <w:vertAlign w:val="superscript"/>
    </w:rPr>
  </w:style>
  <w:style w:type="character" w:customStyle="1" w:styleId="apple-converted-space">
    <w:name w:val="apple-converted-space"/>
    <w:basedOn w:val="DefaultParagraphFont"/>
    <w:rsid w:val="00CF1C08"/>
  </w:style>
  <w:style w:type="character" w:styleId="Emphasis">
    <w:name w:val="Emphasis"/>
    <w:qFormat/>
    <w:rsid w:val="00CF1C08"/>
    <w:rPr>
      <w:i/>
      <w:iCs/>
    </w:rPr>
  </w:style>
  <w:style w:type="paragraph" w:styleId="Header">
    <w:name w:val="header"/>
    <w:basedOn w:val="Normal"/>
    <w:rsid w:val="00A10071"/>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36606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UBND TỈNH PHÚ YÊN</vt:lpstr>
    </vt:vector>
  </TitlesOfParts>
  <Company>Microsoft Corporation</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PHÚ YÊN</dc:title>
  <dc:creator>Windows User</dc:creator>
  <cp:lastModifiedBy>Admin</cp:lastModifiedBy>
  <cp:revision>2</cp:revision>
  <dcterms:created xsi:type="dcterms:W3CDTF">2017-06-02T03:09:00Z</dcterms:created>
  <dcterms:modified xsi:type="dcterms:W3CDTF">2017-06-02T03:09:00Z</dcterms:modified>
</cp:coreProperties>
</file>